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182476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182476">
        <w:rPr>
          <w:rFonts w:ascii="Trebuchet MS" w:hAnsi="Trebuchet MS"/>
        </w:rPr>
        <w:tab/>
      </w:r>
      <w:r w:rsidRPr="00182476">
        <w:rPr>
          <w:rFonts w:ascii="Trebuchet MS" w:hAnsi="Trebuchet MS"/>
        </w:rPr>
        <w:tab/>
      </w:r>
      <w:r w:rsidRPr="00182476">
        <w:rPr>
          <w:rFonts w:ascii="Trebuchet MS" w:hAnsi="Trebuchet MS"/>
        </w:rPr>
        <w:tab/>
      </w:r>
    </w:p>
    <w:p w:rsidR="009825C0" w:rsidRPr="00182476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182476" w:rsidRDefault="00DE7C79" w:rsidP="00182476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182476">
        <w:rPr>
          <w:rFonts w:ascii="Trebuchet MS" w:hAnsi="Trebuchet MS"/>
        </w:rPr>
        <w:br w:type="textWrapping" w:clear="all"/>
      </w:r>
    </w:p>
    <w:p w:rsidR="00182476" w:rsidRPr="00182476" w:rsidRDefault="00182476" w:rsidP="00182476">
      <w:pPr>
        <w:rPr>
          <w:rFonts w:ascii="Trebuchet MS" w:hAnsi="Trebuchet MS"/>
          <w:b/>
          <w:lang w:val="en-US"/>
        </w:rPr>
      </w:pPr>
      <w:r w:rsidRPr="00182476">
        <w:rPr>
          <w:rFonts w:ascii="Trebuchet MS" w:hAnsi="Trebuchet MS"/>
          <w:b/>
          <w:lang w:val="en-US"/>
        </w:rPr>
        <w:t>20</w:t>
      </w:r>
      <w:r w:rsidRPr="00182476">
        <w:rPr>
          <w:rFonts w:ascii="Trebuchet MS" w:hAnsi="Trebuchet MS"/>
          <w:b/>
          <w:lang w:val="en-US"/>
        </w:rPr>
        <w:t>.0</w:t>
      </w:r>
      <w:r w:rsidRPr="00182476">
        <w:rPr>
          <w:rFonts w:ascii="Trebuchet MS" w:hAnsi="Trebuchet MS"/>
          <w:b/>
          <w:lang w:val="en-US"/>
        </w:rPr>
        <w:t>1.2020</w:t>
      </w:r>
    </w:p>
    <w:p w:rsidR="00182476" w:rsidRPr="00182476" w:rsidRDefault="00182476" w:rsidP="00182476">
      <w:pPr>
        <w:jc w:val="center"/>
        <w:rPr>
          <w:rFonts w:ascii="Trebuchet MS" w:hAnsi="Trebuchet MS"/>
          <w:b/>
          <w:lang w:val="en-US"/>
        </w:rPr>
      </w:pPr>
    </w:p>
    <w:p w:rsidR="00182476" w:rsidRPr="00182476" w:rsidRDefault="00182476" w:rsidP="00182476">
      <w:pPr>
        <w:jc w:val="center"/>
        <w:rPr>
          <w:rFonts w:ascii="Trebuchet MS" w:hAnsi="Trebuchet MS"/>
          <w:b/>
        </w:rPr>
      </w:pPr>
      <w:r w:rsidRPr="00182476">
        <w:rPr>
          <w:rFonts w:ascii="Trebuchet MS" w:hAnsi="Trebuchet MS"/>
          <w:b/>
          <w:lang w:val="en-US"/>
        </w:rPr>
        <w:t>ŞTIRE</w:t>
      </w: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Default="00182476" w:rsidP="00182476">
      <w:pPr>
        <w:jc w:val="center"/>
        <w:rPr>
          <w:rFonts w:ascii="Trebuchet MS" w:eastAsia="Times New Roman" w:hAnsi="Trebuchet MS" w:cs="Helvetica"/>
          <w:b/>
          <w:color w:val="1A1A1A"/>
          <w:lang w:eastAsia="ro-RO"/>
        </w:rPr>
      </w:pPr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EPSO lansează campania de recrutare pentru </w:t>
      </w:r>
      <w:proofErr w:type="spellStart"/>
      <w:r>
        <w:rPr>
          <w:rFonts w:ascii="Trebuchet MS" w:eastAsia="Times New Roman" w:hAnsi="Trebuchet MS" w:cs="Helvetica"/>
          <w:b/>
          <w:color w:val="1A1A1A"/>
          <w:lang w:eastAsia="ro-RO"/>
        </w:rPr>
        <w:t>studenţi</w:t>
      </w:r>
      <w:proofErr w:type="spellEnd"/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 </w:t>
      </w:r>
    </w:p>
    <w:p w:rsidR="00182476" w:rsidRDefault="00182476" w:rsidP="00182476">
      <w:pPr>
        <w:jc w:val="center"/>
        <w:rPr>
          <w:rFonts w:ascii="Trebuchet MS" w:eastAsia="Times New Roman" w:hAnsi="Trebuchet MS" w:cs="Helvetica"/>
          <w:b/>
          <w:color w:val="1A1A1A"/>
          <w:lang w:eastAsia="ro-RO"/>
        </w:rPr>
      </w:pPr>
    </w:p>
    <w:p w:rsidR="00182476" w:rsidRDefault="00182476" w:rsidP="00182476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  <w:r>
        <w:rPr>
          <w:rFonts w:ascii="Trebuchet MS" w:eastAsia="Times New Roman" w:hAnsi="Trebuchet MS" w:cs="Helvetica"/>
          <w:color w:val="1A1A1A"/>
          <w:lang w:eastAsia="ro-RO"/>
        </w:rPr>
        <w:tab/>
        <w:t xml:space="preserve">Oficiul European pentru Selecția Personalului (EPSO)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anunţă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demararea campaniei de recrutare pentru Ambasadorii Carierei (EU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Careers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Ambassadors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) în anul universitar 2020-2021. Prin participarea la acest program,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studenţii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vor avea posibilitatea să cunoască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oportunităţile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privind dezvoltarea carierei într-o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instituţie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UE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şi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să promoveze aceste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oportunităţi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în cadrul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universităţilor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pe care le reprezintă.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  <w:r>
        <w:rPr>
          <w:rFonts w:ascii="Trebuchet MS" w:eastAsia="Times New Roman" w:hAnsi="Trebuchet MS" w:cs="Helvetica"/>
          <w:color w:val="1A1A1A"/>
          <w:lang w:eastAsia="ro-RO"/>
        </w:rPr>
        <w:tab/>
        <w:t xml:space="preserve">ANFP invită,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şi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de această dată,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universităţile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din România să dea curs apelului EPSO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şi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să se înscrie în campanie. În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ediţiile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anterioare s-au înscris 9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instituţii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învăţământ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superior, conform listei de mai jos. Lista a fost întocmită pe baza promptitudinii răspunsurilor primite din partea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instituţiilor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interesate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şi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va fi actualizată în baza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aceluiaşi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principiu. ANFP va recomanda, pe principiul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rotaţiei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între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universităţile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înscrise,  universitatea din cadrul căreia va fi selectat studentul care va participa la programul de instruire derulat de EPSO.  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  <w:r>
        <w:rPr>
          <w:rFonts w:ascii="Trebuchet MS" w:eastAsia="Times New Roman" w:hAnsi="Trebuchet MS" w:cs="Helvetica"/>
          <w:color w:val="1A1A1A"/>
          <w:lang w:eastAsia="ro-RO"/>
        </w:rPr>
        <w:tab/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Menţionăm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faptul că EPSO suportă toate cheltuielile cu participarea la instruire pentru studentul selectat din universitatea nominalizată de ANFP, dar în campanie pot fi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înscrişi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şi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alţi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4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studenţi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de la alte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universităţi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, cu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menţiunea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că, pentru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aceştia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,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universităţile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se angajează să suporte cheltuielile aferente instruirii (transport, cazare). 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</w:p>
    <w:p w:rsidR="00182476" w:rsidRDefault="00182476" w:rsidP="00182476">
      <w:pPr>
        <w:jc w:val="both"/>
        <w:rPr>
          <w:rFonts w:ascii="Trebuchet MS" w:eastAsia="Times New Roman" w:hAnsi="Trebuchet MS" w:cs="Helvetica"/>
          <w:b/>
          <w:color w:val="1A1A1A"/>
          <w:lang w:eastAsia="ro-RO"/>
        </w:rPr>
      </w:pPr>
      <w:r>
        <w:rPr>
          <w:rFonts w:ascii="Trebuchet MS" w:eastAsia="Times New Roman" w:hAnsi="Trebuchet MS" w:cs="Helvetica"/>
          <w:color w:val="1A1A1A"/>
          <w:lang w:eastAsia="ro-RO"/>
        </w:rPr>
        <w:tab/>
      </w:r>
      <w:proofErr w:type="spellStart"/>
      <w:r>
        <w:rPr>
          <w:rFonts w:ascii="Trebuchet MS" w:eastAsia="Times New Roman" w:hAnsi="Trebuchet MS" w:cs="Helvetica"/>
          <w:b/>
          <w:color w:val="1A1A1A"/>
          <w:lang w:eastAsia="ro-RO"/>
        </w:rPr>
        <w:t>Universităţile</w:t>
      </w:r>
      <w:proofErr w:type="spellEnd"/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 înscrise în </w:t>
      </w:r>
      <w:proofErr w:type="spellStart"/>
      <w:r>
        <w:rPr>
          <w:rFonts w:ascii="Trebuchet MS" w:eastAsia="Times New Roman" w:hAnsi="Trebuchet MS" w:cs="Helvetica"/>
          <w:b/>
          <w:color w:val="1A1A1A"/>
          <w:lang w:eastAsia="ro-RO"/>
        </w:rPr>
        <w:t>ediţiile</w:t>
      </w:r>
      <w:proofErr w:type="spellEnd"/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 anterioare sunt: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b/>
          <w:color w:val="1A1A1A"/>
          <w:lang w:eastAsia="ro-RO"/>
        </w:rPr>
      </w:pPr>
    </w:p>
    <w:p w:rsidR="00182476" w:rsidRDefault="00182476" w:rsidP="00182476">
      <w:pPr>
        <w:jc w:val="both"/>
        <w:rPr>
          <w:rFonts w:ascii="Trebuchet MS" w:eastAsia="Times New Roman" w:hAnsi="Trebuchet MS" w:cs="Helvetica"/>
          <w:b/>
          <w:color w:val="1A1A1A"/>
          <w:lang w:eastAsia="ro-RO"/>
        </w:rPr>
      </w:pPr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Universitatea </w:t>
      </w:r>
      <w:proofErr w:type="spellStart"/>
      <w:r>
        <w:rPr>
          <w:rFonts w:ascii="Trebuchet MS" w:eastAsia="Times New Roman" w:hAnsi="Trebuchet MS" w:cs="Helvetica"/>
          <w:b/>
          <w:color w:val="1A1A1A"/>
          <w:lang w:eastAsia="ro-RO"/>
        </w:rPr>
        <w:t>Creştină</w:t>
      </w:r>
      <w:proofErr w:type="spellEnd"/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 "Dimitrie Cantemir", </w:t>
      </w:r>
      <w:r>
        <w:rPr>
          <w:rFonts w:ascii="Trebuchet MS" w:eastAsia="Times New Roman" w:hAnsi="Trebuchet MS" w:cs="Helvetica"/>
          <w:color w:val="1A1A1A"/>
          <w:lang w:eastAsia="ro-RO"/>
        </w:rPr>
        <w:t>Facultatea de Științe Politice, Departamentul Comunicare și Relații Publice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b/>
          <w:color w:val="1A1A1A"/>
          <w:lang w:eastAsia="ro-RO"/>
        </w:rPr>
      </w:pPr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Universitatea „Nicolae Titulescu” din </w:t>
      </w:r>
      <w:proofErr w:type="spellStart"/>
      <w:r>
        <w:rPr>
          <w:rFonts w:ascii="Trebuchet MS" w:eastAsia="Times New Roman" w:hAnsi="Trebuchet MS" w:cs="Helvetica"/>
          <w:b/>
          <w:color w:val="1A1A1A"/>
          <w:lang w:eastAsia="ro-RO"/>
        </w:rPr>
        <w:t>Bucureşti</w:t>
      </w:r>
      <w:proofErr w:type="spellEnd"/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, </w:t>
      </w:r>
      <w:r>
        <w:rPr>
          <w:rFonts w:ascii="Trebuchet MS" w:eastAsia="Times New Roman" w:hAnsi="Trebuchet MS" w:cs="Helvetica"/>
          <w:color w:val="1A1A1A"/>
          <w:lang w:eastAsia="ro-RO"/>
        </w:rPr>
        <w:t>Facultatea de Științe Sociale și Administrative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b/>
          <w:color w:val="1A1A1A"/>
          <w:lang w:eastAsia="ro-RO"/>
        </w:rPr>
      </w:pPr>
      <w:r>
        <w:rPr>
          <w:rFonts w:ascii="Trebuchet MS" w:eastAsia="Times New Roman" w:hAnsi="Trebuchet MS" w:cs="Helvetica"/>
          <w:b/>
          <w:color w:val="1A1A1A"/>
          <w:lang w:eastAsia="ro-RO"/>
        </w:rPr>
        <w:t>Academia de Studii Economice din București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b/>
          <w:color w:val="1A1A1A"/>
          <w:lang w:eastAsia="ro-RO"/>
        </w:rPr>
      </w:pPr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Universitatea din București, </w:t>
      </w:r>
      <w:r>
        <w:rPr>
          <w:rFonts w:ascii="Trebuchet MS" w:eastAsia="Times New Roman" w:hAnsi="Trebuchet MS" w:cs="Helvetica"/>
          <w:color w:val="1A1A1A"/>
          <w:lang w:eastAsia="ro-RO"/>
        </w:rPr>
        <w:t>Facultatea de Administrație și Afaceri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b/>
          <w:color w:val="1A1A1A"/>
          <w:lang w:eastAsia="ro-RO"/>
        </w:rPr>
      </w:pPr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Universitatea “Alexandru Ioan Cuza” din Iași, </w:t>
      </w:r>
      <w:r>
        <w:rPr>
          <w:rFonts w:ascii="Trebuchet MS" w:eastAsia="Times New Roman" w:hAnsi="Trebuchet MS" w:cs="Helvetica"/>
          <w:color w:val="1A1A1A"/>
          <w:lang w:eastAsia="ro-RO"/>
        </w:rPr>
        <w:t>Facultatea de Economie și Administrarea Afacerilor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b/>
          <w:color w:val="1A1A1A"/>
          <w:lang w:eastAsia="ro-RO"/>
        </w:rPr>
      </w:pPr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Universitatea </w:t>
      </w:r>
      <w:proofErr w:type="spellStart"/>
      <w:r>
        <w:rPr>
          <w:rFonts w:ascii="Trebuchet MS" w:eastAsia="Times New Roman" w:hAnsi="Trebuchet MS" w:cs="Helvetica"/>
          <w:b/>
          <w:color w:val="1A1A1A"/>
          <w:lang w:eastAsia="ro-RO"/>
        </w:rPr>
        <w:t>Babes</w:t>
      </w:r>
      <w:proofErr w:type="spellEnd"/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-Bolyai Cluj-Napoca, </w:t>
      </w:r>
      <w:r>
        <w:rPr>
          <w:rFonts w:ascii="Trebuchet MS" w:eastAsia="Times New Roman" w:hAnsi="Trebuchet MS" w:cs="Helvetica"/>
          <w:color w:val="1A1A1A"/>
          <w:lang w:eastAsia="ro-RO"/>
        </w:rPr>
        <w:t xml:space="preserve">Facultatea de Studii Europene  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b/>
          <w:color w:val="1A1A1A"/>
          <w:lang w:eastAsia="ro-RO"/>
        </w:rPr>
      </w:pPr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Universitatea „Vasile </w:t>
      </w:r>
      <w:proofErr w:type="spellStart"/>
      <w:r>
        <w:rPr>
          <w:rFonts w:ascii="Trebuchet MS" w:eastAsia="Times New Roman" w:hAnsi="Trebuchet MS" w:cs="Helvetica"/>
          <w:b/>
          <w:color w:val="1A1A1A"/>
          <w:lang w:eastAsia="ro-RO"/>
        </w:rPr>
        <w:t>Goldiş</w:t>
      </w:r>
      <w:proofErr w:type="spellEnd"/>
      <w:r>
        <w:rPr>
          <w:rFonts w:ascii="Trebuchet MS" w:eastAsia="Times New Roman" w:hAnsi="Trebuchet MS" w:cs="Helvetica"/>
          <w:b/>
          <w:color w:val="1A1A1A"/>
          <w:lang w:eastAsia="ro-RO"/>
        </w:rPr>
        <w:t>” din Arad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b/>
          <w:color w:val="1A1A1A"/>
          <w:lang w:eastAsia="ro-RO"/>
        </w:rPr>
      </w:pPr>
      <w:proofErr w:type="spellStart"/>
      <w:r>
        <w:rPr>
          <w:rFonts w:ascii="Trebuchet MS" w:eastAsia="Times New Roman" w:hAnsi="Trebuchet MS" w:cs="Helvetica"/>
          <w:b/>
          <w:color w:val="1A1A1A"/>
          <w:lang w:eastAsia="ro-RO"/>
        </w:rPr>
        <w:t>Şcoala</w:t>
      </w:r>
      <w:proofErr w:type="spellEnd"/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Helvetica"/>
          <w:b/>
          <w:color w:val="1A1A1A"/>
          <w:lang w:eastAsia="ro-RO"/>
        </w:rPr>
        <w:t>Naţională</w:t>
      </w:r>
      <w:proofErr w:type="spellEnd"/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 de Studii Politice și Administrative (SNSPA)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b/>
          <w:color w:val="1A1A1A"/>
          <w:lang w:eastAsia="ro-RO"/>
        </w:rPr>
      </w:pPr>
      <w:r>
        <w:rPr>
          <w:rFonts w:ascii="Trebuchet MS" w:eastAsia="Times New Roman" w:hAnsi="Trebuchet MS" w:cs="Helvetica"/>
          <w:b/>
          <w:color w:val="1A1A1A"/>
          <w:lang w:eastAsia="ro-RO"/>
        </w:rPr>
        <w:t xml:space="preserve">Universitatea „Stefan cel Mare” din Suceava 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</w:p>
    <w:p w:rsidR="00182476" w:rsidRDefault="00182476" w:rsidP="00182476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  <w:r>
        <w:rPr>
          <w:rFonts w:ascii="Trebuchet MS" w:eastAsia="Times New Roman" w:hAnsi="Trebuchet MS" w:cs="Helvetica"/>
          <w:color w:val="1A1A1A"/>
          <w:lang w:eastAsia="ro-RO"/>
        </w:rPr>
        <w:t>Dintre acestea, primele patru au fost deja nominalizate de ANFP în anii anteriori pentru suportarea cheltuieli</w:t>
      </w:r>
      <w:r w:rsidR="007D1CDC">
        <w:rPr>
          <w:rFonts w:ascii="Trebuchet MS" w:eastAsia="Times New Roman" w:hAnsi="Trebuchet MS" w:cs="Helvetica"/>
          <w:color w:val="1A1A1A"/>
          <w:lang w:eastAsia="ro-RO"/>
        </w:rPr>
        <w:t>l</w:t>
      </w:r>
      <w:bookmarkStart w:id="0" w:name="_GoBack"/>
      <w:bookmarkEnd w:id="0"/>
      <w:r>
        <w:rPr>
          <w:rFonts w:ascii="Trebuchet MS" w:eastAsia="Times New Roman" w:hAnsi="Trebuchet MS" w:cs="Helvetica"/>
          <w:color w:val="1A1A1A"/>
          <w:lang w:eastAsia="ro-RO"/>
        </w:rPr>
        <w:t xml:space="preserve">or de către EPSO. </w:t>
      </w:r>
    </w:p>
    <w:p w:rsidR="00182476" w:rsidRDefault="00182476" w:rsidP="00182476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</w:p>
    <w:p w:rsidR="00182476" w:rsidRDefault="00182476" w:rsidP="00182476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  <w:r>
        <w:rPr>
          <w:rFonts w:ascii="Trebuchet MS" w:eastAsia="Times New Roman" w:hAnsi="Trebuchet MS" w:cs="Helvetica"/>
          <w:color w:val="1A1A1A"/>
          <w:lang w:eastAsia="ro-RO"/>
        </w:rPr>
        <w:lastRenderedPageBreak/>
        <w:t xml:space="preserve">În vederea actualizării listei,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instituţiile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 w:cs="Helvetica"/>
          <w:color w:val="1A1A1A"/>
          <w:lang w:eastAsia="ro-RO"/>
        </w:rPr>
        <w:t>învăţământ</w:t>
      </w:r>
      <w:proofErr w:type="spellEnd"/>
      <w:r>
        <w:rPr>
          <w:rFonts w:ascii="Trebuchet MS" w:eastAsia="Times New Roman" w:hAnsi="Trebuchet MS" w:cs="Helvetica"/>
          <w:color w:val="1A1A1A"/>
          <w:lang w:eastAsia="ro-RO"/>
        </w:rPr>
        <w:t xml:space="preserve"> superior care doresc să se înscrie în campanie, ne pot contacta la adresa de e-mail steluta.spataru@anfp.gov.ro, până la data de </w:t>
      </w:r>
      <w:r>
        <w:rPr>
          <w:rFonts w:ascii="Trebuchet MS" w:eastAsia="Times New Roman" w:hAnsi="Trebuchet MS" w:cs="Helvetica"/>
          <w:b/>
          <w:color w:val="1A1A1A"/>
          <w:lang w:eastAsia="ro-RO"/>
        </w:rPr>
        <w:t>25 ianuarie 2020</w:t>
      </w:r>
      <w:r>
        <w:rPr>
          <w:rFonts w:ascii="Trebuchet MS" w:eastAsia="Times New Roman" w:hAnsi="Trebuchet MS" w:cs="Helvetica"/>
          <w:color w:val="1A1A1A"/>
          <w:lang w:eastAsia="ro-RO"/>
        </w:rPr>
        <w:t>.</w:t>
      </w: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  <w:r w:rsidRPr="00182476">
        <w:rPr>
          <w:rFonts w:ascii="Trebuchet MS" w:hAnsi="Trebuchet MS"/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2B5722DE" wp14:editId="48E15DBD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476" w:rsidRPr="00182476" w:rsidRDefault="00182476" w:rsidP="00182476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Direcţia</w:t>
      </w:r>
      <w:proofErr w:type="spellEnd"/>
      <w:r w:rsidRPr="00182476">
        <w:rPr>
          <w:rFonts w:ascii="Trebuchet MS" w:hAnsi="Trebuchet MS"/>
          <w:b/>
          <w:i/>
        </w:rPr>
        <w:t xml:space="preserve"> Comunicare </w:t>
      </w:r>
      <w:proofErr w:type="spellStart"/>
      <w:r w:rsidRPr="00182476">
        <w:rPr>
          <w:rFonts w:ascii="Trebuchet MS" w:hAnsi="Trebuchet MS"/>
          <w:b/>
          <w:i/>
        </w:rPr>
        <w:t>şi</w:t>
      </w:r>
      <w:proofErr w:type="spellEnd"/>
      <w:r w:rsidRPr="00182476">
        <w:rPr>
          <w:rFonts w:ascii="Trebuchet MS" w:hAnsi="Trebuchet MS"/>
          <w:b/>
          <w:i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Relaţii</w:t>
      </w:r>
      <w:proofErr w:type="spellEnd"/>
      <w:r w:rsidRPr="00182476">
        <w:rPr>
          <w:rFonts w:ascii="Trebuchet MS" w:hAnsi="Trebuchet MS"/>
          <w:b/>
          <w:i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Internaţionale</w:t>
      </w:r>
      <w:proofErr w:type="spellEnd"/>
    </w:p>
    <w:p w:rsidR="00182476" w:rsidRPr="00182476" w:rsidRDefault="00182476" w:rsidP="00182476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  <w:b/>
          <w:i/>
        </w:rPr>
        <w:t xml:space="preserve"> </w:t>
      </w:r>
      <w:hyperlink r:id="rId9" w:history="1">
        <w:r w:rsidRPr="00182476">
          <w:rPr>
            <w:rStyle w:val="Hyperlink"/>
            <w:rFonts w:ascii="Trebuchet MS" w:hAnsi="Trebuchet MS"/>
            <w:b/>
            <w:i/>
          </w:rPr>
          <w:t>comunicare@anfp.gov.ro</w:t>
        </w:r>
      </w:hyperlink>
      <w:r w:rsidRPr="00182476">
        <w:rPr>
          <w:rFonts w:ascii="Trebuchet MS" w:hAnsi="Trebuchet MS"/>
          <w:b/>
          <w:i/>
        </w:rPr>
        <w:t xml:space="preserve"> </w:t>
      </w:r>
    </w:p>
    <w:p w:rsidR="00182476" w:rsidRPr="00182476" w:rsidRDefault="00182476" w:rsidP="00182476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  <w:b/>
          <w:i/>
        </w:rPr>
        <w:t>Tel. 0374 112 749</w:t>
      </w:r>
    </w:p>
    <w:p w:rsidR="00182476" w:rsidRPr="00182476" w:rsidRDefault="00182476" w:rsidP="00182476">
      <w:pPr>
        <w:rPr>
          <w:rFonts w:ascii="Trebuchet MS" w:hAnsi="Trebuchet MS"/>
          <w:lang w:val="en-US"/>
        </w:rPr>
      </w:pPr>
    </w:p>
    <w:p w:rsidR="00182476" w:rsidRPr="00182476" w:rsidRDefault="00182476" w:rsidP="00182476">
      <w:pPr>
        <w:rPr>
          <w:rFonts w:ascii="Trebuchet MS" w:hAnsi="Trebuchet MS"/>
          <w:lang w:val="en-US"/>
        </w:rPr>
      </w:pPr>
    </w:p>
    <w:p w:rsidR="00FA535C" w:rsidRPr="00182476" w:rsidRDefault="00FA535C" w:rsidP="009825C0">
      <w:pPr>
        <w:spacing w:after="160"/>
        <w:rPr>
          <w:rFonts w:ascii="Trebuchet MS" w:hAnsi="Trebuchet MS"/>
        </w:rPr>
      </w:pPr>
    </w:p>
    <w:p w:rsidR="00FA535C" w:rsidRPr="00182476" w:rsidRDefault="00FA535C" w:rsidP="009825C0">
      <w:pPr>
        <w:spacing w:after="160"/>
        <w:rPr>
          <w:rFonts w:ascii="Trebuchet MS" w:hAnsi="Trebuchet MS"/>
        </w:rPr>
      </w:pPr>
    </w:p>
    <w:p w:rsidR="00FA535C" w:rsidRPr="00182476" w:rsidRDefault="00FA535C" w:rsidP="009825C0">
      <w:pPr>
        <w:spacing w:after="160"/>
        <w:rPr>
          <w:rFonts w:ascii="Trebuchet MS" w:hAnsi="Trebuchet MS"/>
        </w:rPr>
      </w:pPr>
    </w:p>
    <w:p w:rsidR="009825C0" w:rsidRPr="00182476" w:rsidRDefault="009825C0" w:rsidP="009825C0">
      <w:pPr>
        <w:spacing w:after="160"/>
        <w:rPr>
          <w:rFonts w:ascii="Trebuchet MS" w:hAnsi="Trebuchet MS"/>
        </w:rPr>
      </w:pPr>
    </w:p>
    <w:p w:rsidR="00E631F1" w:rsidRPr="00182476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182476">
        <w:rPr>
          <w:rFonts w:ascii="Trebuchet MS" w:hAnsi="Trebuchet MS"/>
        </w:rPr>
        <w:tab/>
      </w:r>
    </w:p>
    <w:p w:rsidR="00801FE0" w:rsidRPr="00182476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182476" w:rsidSect="002B2E6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21" w:rsidRDefault="009C7621">
      <w:r>
        <w:separator/>
      </w:r>
    </w:p>
  </w:endnote>
  <w:endnote w:type="continuationSeparator" w:id="0">
    <w:p w:rsidR="009C7621" w:rsidRDefault="009C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8247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8247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198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D1CD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D1CDC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7F9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21" w:rsidRDefault="009C7621">
      <w:r>
        <w:separator/>
      </w:r>
    </w:p>
  </w:footnote>
  <w:footnote w:type="continuationSeparator" w:id="0">
    <w:p w:rsidR="009C7621" w:rsidRDefault="009C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9C762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7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2476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1CDC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C7621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96AF742"/>
  <w15:chartTrackingRefBased/>
  <w15:docId w15:val="{99D15E59-347A-40DB-A3ED-78D8E8C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182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608DF-B873-44D7-9902-8955091C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Catalina Burcea</dc:creator>
  <cp:keywords/>
  <dc:description/>
  <cp:lastModifiedBy>Catalina Burcea</cp:lastModifiedBy>
  <cp:revision>2</cp:revision>
  <cp:lastPrinted>2019-10-07T12:15:00Z</cp:lastPrinted>
  <dcterms:created xsi:type="dcterms:W3CDTF">2020-01-20T09:55:00Z</dcterms:created>
  <dcterms:modified xsi:type="dcterms:W3CDTF">2020-01-20T10:01:00Z</dcterms:modified>
</cp:coreProperties>
</file>